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Standard Operating Procedure for </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Clinton County Farm Bureau Scholarships</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Effective as of 1/2/2018</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Approved by the</w:t>
      </w:r>
      <w:r w:rsidDel="00000000" w:rsidR="00000000" w:rsidRPr="00000000">
        <w:rPr>
          <w:sz w:val="24"/>
          <w:szCs w:val="24"/>
          <w:u w:val="single"/>
          <w:rtl w:val="0"/>
        </w:rPr>
        <w:t xml:space="preserve"> Clinton County Farm Bureau Board</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Organization Director in Charge:</w:t>
      </w:r>
      <w:r w:rsidDel="00000000" w:rsidR="00000000" w:rsidRPr="00000000">
        <w:rPr>
          <w:sz w:val="24"/>
          <w:szCs w:val="24"/>
          <w:u w:val="single"/>
          <w:rtl w:val="0"/>
        </w:rPr>
        <w:t xml:space="preserve"> Ashley Rose (937)218-9105</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To establish the rules of how the Jamie Florea Memorial Scholarship is processed.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Current rules for the applicants: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Applications will be accepted from graduating high school seniors.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Applicant must be a young active member of Farm Bureau or have an immediate family member who is a current member of the Farm Bureau. </w:t>
      </w:r>
    </w:p>
    <w:p w:rsidR="00000000" w:rsidDel="00000000" w:rsidP="00000000" w:rsidRDefault="00000000" w:rsidRPr="00000000">
      <w:pPr>
        <w:pStyle w:val="Heading1"/>
        <w:keepLines w:val="0"/>
        <w:numPr>
          <w:ilvl w:val="0"/>
          <w:numId w:val="1"/>
        </w:numPr>
        <w:spacing w:after="0" w:before="0" w:line="240" w:lineRule="auto"/>
        <w:ind w:left="720" w:hanging="360"/>
        <w:rPr>
          <w:sz w:val="24"/>
          <w:szCs w:val="24"/>
        </w:rPr>
      </w:pPr>
      <w:r w:rsidDel="00000000" w:rsidR="00000000" w:rsidRPr="00000000">
        <w:rPr>
          <w:sz w:val="24"/>
          <w:szCs w:val="24"/>
          <w:rtl w:val="0"/>
        </w:rPr>
        <w:t xml:space="preserve">Application is to be completed by applicant.  </w:t>
      </w:r>
    </w:p>
    <w:p w:rsidR="00000000" w:rsidDel="00000000" w:rsidP="00000000" w:rsidRDefault="00000000" w:rsidRPr="00000000">
      <w:pPr>
        <w:pStyle w:val="Heading1"/>
        <w:keepLines w:val="0"/>
        <w:numPr>
          <w:ilvl w:val="0"/>
          <w:numId w:val="1"/>
        </w:numPr>
        <w:spacing w:after="0" w:before="0" w:line="240" w:lineRule="auto"/>
        <w:ind w:left="720" w:hanging="360"/>
        <w:contextualSpacing w:val="1"/>
        <w:rPr>
          <w:sz w:val="24"/>
          <w:szCs w:val="24"/>
        </w:rPr>
      </w:pPr>
      <w:r w:rsidDel="00000000" w:rsidR="00000000" w:rsidRPr="00000000">
        <w:rPr>
          <w:sz w:val="24"/>
          <w:szCs w:val="24"/>
          <w:rtl w:val="0"/>
        </w:rPr>
        <w:t xml:space="preserve">Applicant must answer all questions completely.  You may use extra pages where necessary.</w:t>
      </w:r>
    </w:p>
    <w:p w:rsidR="00000000" w:rsidDel="00000000" w:rsidP="00000000" w:rsidRDefault="00000000" w:rsidRPr="00000000">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Applicant must include a copy of applicant’s transcript.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Applicant must be</w:t>
      </w:r>
      <w:r w:rsidDel="00000000" w:rsidR="00000000" w:rsidRPr="00000000">
        <w:rPr>
          <w:sz w:val="24"/>
          <w:szCs w:val="24"/>
          <w:rtl w:val="0"/>
        </w:rPr>
        <w:t xml:space="preserve"> a graduating senior who plans to pursue an Ag related education in a  2 - 4 year program.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Applications are due </w:t>
      </w:r>
      <w:r w:rsidDel="00000000" w:rsidR="00000000" w:rsidRPr="00000000">
        <w:rPr>
          <w:sz w:val="24"/>
          <w:szCs w:val="24"/>
          <w:rtl w:val="0"/>
        </w:rPr>
        <w:t xml:space="preserve">April 16th</w:t>
      </w:r>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Renewal applications must hold a 2.0</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Scholarships can be renewed for up to 4 years. </w:t>
        <w:br w:type="textWrapping"/>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Definitions:</w:t>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Young Active Membe</w:t>
      </w:r>
      <w:r w:rsidDel="00000000" w:rsidR="00000000" w:rsidRPr="00000000">
        <w:rPr>
          <w:sz w:val="24"/>
          <w:szCs w:val="24"/>
          <w:rtl w:val="0"/>
        </w:rPr>
        <w:t xml:space="preserve">r- A Farm Bureau member between the ages of 18-24 who is directly impacted by the health of Ohio agriculture. </w:t>
      </w:r>
    </w:p>
    <w:p w:rsidR="00000000" w:rsidDel="00000000" w:rsidP="00000000" w:rsidRDefault="00000000" w:rsidRPr="00000000">
      <w:pPr>
        <w:contextualSpacing w:val="0"/>
        <w:rPr>
          <w:sz w:val="24"/>
          <w:szCs w:val="24"/>
        </w:rPr>
      </w:pPr>
      <w:r w:rsidDel="00000000" w:rsidR="00000000" w:rsidRPr="00000000">
        <w:rPr>
          <w:i w:val="1"/>
          <w:sz w:val="24"/>
          <w:szCs w:val="24"/>
          <w:rtl w:val="0"/>
        </w:rPr>
        <w:t xml:space="preserve">Current Member</w:t>
      </w:r>
      <w:r w:rsidDel="00000000" w:rsidR="00000000" w:rsidRPr="00000000">
        <w:rPr>
          <w:sz w:val="24"/>
          <w:szCs w:val="24"/>
          <w:rtl w:val="0"/>
        </w:rPr>
        <w:t xml:space="preserve">- Membership must be current and not be expired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Immediate Family Member- Father, Mother, sister, brother, grandparent, or legal guardian.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Payout Periods:</w:t>
      </w:r>
    </w:p>
    <w:p w:rsidR="00000000" w:rsidDel="00000000" w:rsidP="00000000" w:rsidRDefault="00000000" w:rsidRPr="00000000">
      <w:pPr>
        <w:contextualSpacing w:val="0"/>
        <w:rPr>
          <w:sz w:val="36"/>
          <w:szCs w:val="36"/>
        </w:rPr>
      </w:pPr>
      <w:r w:rsidDel="00000000" w:rsidR="00000000" w:rsidRPr="00000000">
        <w:rPr>
          <w:sz w:val="24"/>
          <w:szCs w:val="24"/>
          <w:rtl w:val="0"/>
        </w:rPr>
        <w:t xml:space="preserve">The County Farm Bureau Office will pay out the $500 scholarship checks to the college or university</w:t>
      </w:r>
      <w:r w:rsidDel="00000000" w:rsidR="00000000" w:rsidRPr="00000000">
        <w:rPr>
          <w:sz w:val="24"/>
          <w:szCs w:val="24"/>
          <w:rtl w:val="0"/>
        </w:rPr>
        <w:t xml:space="preserve"> of the winner</w:t>
      </w:r>
      <w:r w:rsidDel="00000000" w:rsidR="00000000" w:rsidRPr="00000000">
        <w:rPr>
          <w:sz w:val="24"/>
          <w:szCs w:val="24"/>
          <w:rtl w:val="0"/>
        </w:rPr>
        <w:t xml:space="preserve"> on July 1st. For renewal applicants the county Farm Bureau office will require a current transcript by April 16th but the office is not responsible to remind applicants to turn in that transcript. Failing to turn in an transcript will result in not being eligible for the scholarship until the next due date of April 16th of the following year.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